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F1" w:rsidRPr="00700237" w:rsidRDefault="008200F1" w:rsidP="00700237">
      <w:pPr>
        <w:rPr>
          <w:b/>
        </w:rPr>
      </w:pPr>
      <w:r w:rsidRPr="00F4030A">
        <w:rPr>
          <w:b/>
          <w:noProof/>
          <w:lang w:eastAsia="en-GB"/>
        </w:rPr>
        <w:drawing>
          <wp:anchor distT="0" distB="0" distL="114300" distR="114300" simplePos="0" relativeHeight="251659264" behindDoc="0" locked="0" layoutInCell="1" allowOverlap="1" wp14:anchorId="0402CA5C" wp14:editId="7A19ECAE">
            <wp:simplePos x="0" y="0"/>
            <wp:positionH relativeFrom="column">
              <wp:posOffset>4678507</wp:posOffset>
            </wp:positionH>
            <wp:positionV relativeFrom="paragraph">
              <wp:posOffset>11678</wp:posOffset>
            </wp:positionV>
            <wp:extent cx="1000125" cy="922067"/>
            <wp:effectExtent l="0" t="0" r="0" b="0"/>
            <wp:wrapSquare wrapText="bothSides"/>
            <wp:docPr id="3" name="Picture 3" descr="C:\Users\d.northam\Desktop\Parkfie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ortham\Desktop\Parkfiel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92206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XSpec="center" w:tblpY="2170"/>
        <w:tblW w:w="15310" w:type="dxa"/>
        <w:tblLayout w:type="fixed"/>
        <w:tblLook w:val="04A0" w:firstRow="1" w:lastRow="0" w:firstColumn="1" w:lastColumn="0" w:noHBand="0" w:noVBand="1"/>
      </w:tblPr>
      <w:tblGrid>
        <w:gridCol w:w="395"/>
        <w:gridCol w:w="2485"/>
        <w:gridCol w:w="2486"/>
        <w:gridCol w:w="2486"/>
        <w:gridCol w:w="2486"/>
        <w:gridCol w:w="2486"/>
        <w:gridCol w:w="2486"/>
      </w:tblGrid>
      <w:tr w:rsidR="008200F1" w:rsidRPr="00E12D95" w:rsidTr="00592CDE">
        <w:trPr>
          <w:trHeight w:val="397"/>
        </w:trPr>
        <w:tc>
          <w:tcPr>
            <w:tcW w:w="395" w:type="dxa"/>
            <w:shd w:val="clear" w:color="auto" w:fill="D9D9D9" w:themeFill="background1" w:themeFillShade="D9"/>
            <w:vAlign w:val="center"/>
          </w:tcPr>
          <w:p w:rsidR="008200F1" w:rsidRPr="00E12D95" w:rsidRDefault="008200F1" w:rsidP="008200F1">
            <w:pPr>
              <w:jc w:val="center"/>
              <w:rPr>
                <w:b/>
                <w:sz w:val="16"/>
                <w:szCs w:val="16"/>
              </w:rPr>
            </w:pPr>
          </w:p>
        </w:tc>
        <w:tc>
          <w:tcPr>
            <w:tcW w:w="2485"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Autumn 1</w:t>
            </w:r>
          </w:p>
        </w:tc>
        <w:tc>
          <w:tcPr>
            <w:tcW w:w="2486"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Autumn 2</w:t>
            </w:r>
          </w:p>
        </w:tc>
        <w:tc>
          <w:tcPr>
            <w:tcW w:w="2486"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Spring 1</w:t>
            </w:r>
          </w:p>
        </w:tc>
        <w:tc>
          <w:tcPr>
            <w:tcW w:w="2486"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Spring 2</w:t>
            </w:r>
          </w:p>
        </w:tc>
        <w:tc>
          <w:tcPr>
            <w:tcW w:w="2486" w:type="dxa"/>
            <w:shd w:val="clear" w:color="auto" w:fill="D9D9D9" w:themeFill="background1" w:themeFillShade="D9"/>
            <w:vAlign w:val="center"/>
          </w:tcPr>
          <w:p w:rsidR="008200F1" w:rsidRPr="004134AB" w:rsidRDefault="008200F1" w:rsidP="008200F1">
            <w:pPr>
              <w:jc w:val="center"/>
              <w:rPr>
                <w:b/>
                <w:sz w:val="20"/>
                <w:szCs w:val="16"/>
              </w:rPr>
            </w:pPr>
            <w:r w:rsidRPr="004134AB">
              <w:rPr>
                <w:b/>
                <w:sz w:val="20"/>
                <w:szCs w:val="16"/>
              </w:rPr>
              <w:t>Summer 1</w:t>
            </w:r>
          </w:p>
        </w:tc>
        <w:tc>
          <w:tcPr>
            <w:tcW w:w="2486" w:type="dxa"/>
            <w:shd w:val="clear" w:color="auto" w:fill="D9D9D9" w:themeFill="background1" w:themeFillShade="D9"/>
            <w:vAlign w:val="center"/>
          </w:tcPr>
          <w:p w:rsidR="008200F1" w:rsidRPr="004134AB" w:rsidRDefault="008200F1" w:rsidP="008200F1">
            <w:pPr>
              <w:ind w:right="-14"/>
              <w:jc w:val="center"/>
              <w:rPr>
                <w:b/>
                <w:sz w:val="20"/>
                <w:szCs w:val="16"/>
              </w:rPr>
            </w:pPr>
            <w:r w:rsidRPr="004134AB">
              <w:rPr>
                <w:b/>
                <w:sz w:val="20"/>
                <w:szCs w:val="16"/>
              </w:rPr>
              <w:t>Summer 2</w:t>
            </w:r>
          </w:p>
        </w:tc>
      </w:tr>
      <w:tr w:rsidR="00940D12" w:rsidTr="00592CDE">
        <w:trPr>
          <w:cantSplit/>
          <w:trHeight w:val="1928"/>
        </w:trPr>
        <w:tc>
          <w:tcPr>
            <w:tcW w:w="395" w:type="dxa"/>
            <w:shd w:val="clear" w:color="auto" w:fill="D9D9D9" w:themeFill="background1" w:themeFillShade="D9"/>
            <w:textDirection w:val="btLr"/>
            <w:vAlign w:val="center"/>
          </w:tcPr>
          <w:p w:rsidR="00940D12" w:rsidRDefault="00940D12" w:rsidP="00940D12">
            <w:pPr>
              <w:ind w:left="113" w:right="113"/>
              <w:jc w:val="center"/>
              <w:rPr>
                <w:b/>
                <w:sz w:val="20"/>
                <w:szCs w:val="20"/>
              </w:rPr>
            </w:pPr>
            <w:r>
              <w:rPr>
                <w:b/>
                <w:sz w:val="20"/>
                <w:szCs w:val="20"/>
              </w:rPr>
              <w:t>Year 9</w:t>
            </w:r>
          </w:p>
        </w:tc>
        <w:tc>
          <w:tcPr>
            <w:tcW w:w="4971" w:type="dxa"/>
            <w:gridSpan w:val="2"/>
            <w:vAlign w:val="center"/>
          </w:tcPr>
          <w:p w:rsidR="00940D12" w:rsidRPr="00940D12" w:rsidRDefault="00940D12" w:rsidP="00940D12">
            <w:pPr>
              <w:pStyle w:val="NoSpacing"/>
              <w:jc w:val="center"/>
              <w:rPr>
                <w:b/>
                <w:sz w:val="18"/>
                <w:szCs w:val="18"/>
                <w:u w:val="single"/>
              </w:rPr>
            </w:pPr>
            <w:r w:rsidRPr="00940D12">
              <w:rPr>
                <w:b/>
                <w:sz w:val="18"/>
                <w:szCs w:val="18"/>
                <w:u w:val="single"/>
              </w:rPr>
              <w:t>The Interwar Years</w:t>
            </w:r>
          </w:p>
          <w:p w:rsidR="00940D12" w:rsidRPr="00940D12" w:rsidRDefault="00940D12" w:rsidP="00940D12">
            <w:pPr>
              <w:pStyle w:val="NoSpacing"/>
              <w:jc w:val="center"/>
              <w:rPr>
                <w:rFonts w:ascii="Calibri" w:eastAsia="Times New Roman" w:hAnsi="Calibri" w:cs="Calibri"/>
                <w:color w:val="000000"/>
                <w:kern w:val="28"/>
                <w:sz w:val="18"/>
                <w:szCs w:val="18"/>
                <w:lang w:eastAsia="en-GB"/>
              </w:rPr>
            </w:pPr>
            <w:r w:rsidRPr="00940D12">
              <w:rPr>
                <w:rFonts w:ascii="Calibri" w:eastAsia="Times New Roman" w:hAnsi="Calibri" w:cs="Calibri"/>
                <w:color w:val="000000"/>
                <w:kern w:val="28"/>
                <w:sz w:val="18"/>
                <w:szCs w:val="18"/>
                <w:lang w:eastAsia="en-GB"/>
              </w:rPr>
              <w:t>Students explore the immediate effects of the First World War by looking at the Treaty of Versailles and how it left Europe and Germany vastly different circumstances.</w:t>
            </w:r>
          </w:p>
          <w:p w:rsidR="00940D12" w:rsidRPr="00940D12" w:rsidRDefault="00940D12" w:rsidP="005720A6">
            <w:pPr>
              <w:pStyle w:val="NoSpacing"/>
              <w:jc w:val="center"/>
              <w:rPr>
                <w:rFonts w:ascii="Calibri" w:eastAsia="Times New Roman" w:hAnsi="Calibri" w:cs="Calibri"/>
                <w:color w:val="000000"/>
                <w:kern w:val="28"/>
                <w:sz w:val="18"/>
                <w:szCs w:val="18"/>
                <w:lang w:eastAsia="en-GB"/>
              </w:rPr>
            </w:pPr>
            <w:r w:rsidRPr="00940D12">
              <w:rPr>
                <w:rFonts w:ascii="Calibri" w:eastAsia="Times New Roman" w:hAnsi="Calibri" w:cs="Calibri"/>
                <w:color w:val="000000"/>
                <w:kern w:val="28"/>
                <w:sz w:val="18"/>
                <w:szCs w:val="18"/>
                <w:lang w:eastAsia="en-GB"/>
              </w:rPr>
              <w:t>Students will explore all facets of the Spanish Civil War including its course and how outside nations and groups attempted to influence its outcome.</w:t>
            </w:r>
          </w:p>
        </w:tc>
        <w:tc>
          <w:tcPr>
            <w:tcW w:w="4972" w:type="dxa"/>
            <w:gridSpan w:val="2"/>
            <w:vAlign w:val="center"/>
          </w:tcPr>
          <w:p w:rsidR="00940D12" w:rsidRPr="00940D12" w:rsidRDefault="00940D12" w:rsidP="00940D12">
            <w:pPr>
              <w:pStyle w:val="NoSpacing"/>
              <w:jc w:val="center"/>
              <w:rPr>
                <w:b/>
                <w:sz w:val="18"/>
                <w:szCs w:val="18"/>
                <w:u w:val="single"/>
              </w:rPr>
            </w:pPr>
            <w:r w:rsidRPr="00940D12">
              <w:rPr>
                <w:b/>
                <w:sz w:val="18"/>
                <w:szCs w:val="18"/>
                <w:u w:val="single"/>
              </w:rPr>
              <w:t>The Holocaust</w:t>
            </w:r>
          </w:p>
          <w:p w:rsidR="00940D12" w:rsidRPr="00940D12" w:rsidRDefault="00940D12" w:rsidP="005720A6">
            <w:pPr>
              <w:pStyle w:val="NoSpacing"/>
              <w:jc w:val="center"/>
              <w:rPr>
                <w:sz w:val="18"/>
                <w:szCs w:val="18"/>
              </w:rPr>
            </w:pPr>
            <w:r w:rsidRPr="00940D12">
              <w:rPr>
                <w:sz w:val="18"/>
                <w:szCs w:val="18"/>
              </w:rPr>
              <w:t xml:space="preserve">Students will look at the rise of </w:t>
            </w:r>
            <w:r w:rsidRPr="00940D12">
              <w:rPr>
                <w:b/>
                <w:sz w:val="18"/>
                <w:szCs w:val="18"/>
              </w:rPr>
              <w:t>Hitler</w:t>
            </w:r>
            <w:r w:rsidRPr="00940D12">
              <w:rPr>
                <w:sz w:val="18"/>
                <w:szCs w:val="18"/>
              </w:rPr>
              <w:t xml:space="preserve"> in </w:t>
            </w:r>
            <w:r w:rsidRPr="00940D12">
              <w:rPr>
                <w:b/>
                <w:sz w:val="18"/>
                <w:szCs w:val="18"/>
              </w:rPr>
              <w:t>Germany</w:t>
            </w:r>
            <w:r w:rsidRPr="00940D12">
              <w:rPr>
                <w:sz w:val="18"/>
                <w:szCs w:val="18"/>
              </w:rPr>
              <w:t xml:space="preserve"> and how his increase in power led to an increase in </w:t>
            </w:r>
            <w:r w:rsidRPr="00940D12">
              <w:rPr>
                <w:b/>
                <w:sz w:val="18"/>
                <w:szCs w:val="18"/>
              </w:rPr>
              <w:t>anti-Semitism</w:t>
            </w:r>
            <w:r w:rsidRPr="00940D12">
              <w:rPr>
                <w:sz w:val="18"/>
                <w:szCs w:val="18"/>
              </w:rPr>
              <w:t xml:space="preserve">. Content delivered in class will focus on the events within Nazi Germany such as </w:t>
            </w:r>
            <w:r w:rsidRPr="00940D12">
              <w:rPr>
                <w:b/>
                <w:sz w:val="18"/>
                <w:szCs w:val="18"/>
              </w:rPr>
              <w:t>Kristallnacht</w:t>
            </w:r>
            <w:r w:rsidRPr="00940D12">
              <w:rPr>
                <w:sz w:val="18"/>
                <w:szCs w:val="18"/>
              </w:rPr>
              <w:t xml:space="preserve">, </w:t>
            </w:r>
            <w:r w:rsidRPr="00940D12">
              <w:rPr>
                <w:b/>
                <w:sz w:val="18"/>
                <w:szCs w:val="18"/>
              </w:rPr>
              <w:t>Nuremburg Laws</w:t>
            </w:r>
            <w:r w:rsidRPr="00940D12">
              <w:rPr>
                <w:sz w:val="18"/>
                <w:szCs w:val="18"/>
              </w:rPr>
              <w:t xml:space="preserve">, </w:t>
            </w:r>
            <w:r w:rsidRPr="00940D12">
              <w:rPr>
                <w:b/>
                <w:sz w:val="18"/>
                <w:szCs w:val="18"/>
              </w:rPr>
              <w:t>Ghettos</w:t>
            </w:r>
            <w:r w:rsidRPr="00940D12">
              <w:rPr>
                <w:sz w:val="18"/>
                <w:szCs w:val="18"/>
              </w:rPr>
              <w:t xml:space="preserve">, </w:t>
            </w:r>
            <w:r w:rsidRPr="00940D12">
              <w:rPr>
                <w:b/>
                <w:sz w:val="18"/>
                <w:szCs w:val="18"/>
              </w:rPr>
              <w:t>Persecution</w:t>
            </w:r>
            <w:r w:rsidRPr="00940D12">
              <w:rPr>
                <w:sz w:val="18"/>
                <w:szCs w:val="18"/>
              </w:rPr>
              <w:t xml:space="preserve"> until we look at the </w:t>
            </w:r>
            <w:r w:rsidRPr="00940D12">
              <w:rPr>
                <w:b/>
                <w:sz w:val="18"/>
                <w:szCs w:val="18"/>
              </w:rPr>
              <w:t>Final Solution</w:t>
            </w:r>
            <w:r w:rsidRPr="00940D12">
              <w:rPr>
                <w:sz w:val="18"/>
                <w:szCs w:val="18"/>
              </w:rPr>
              <w:t xml:space="preserve">. The </w:t>
            </w:r>
            <w:r w:rsidRPr="00940D12">
              <w:rPr>
                <w:b/>
                <w:sz w:val="18"/>
                <w:szCs w:val="18"/>
              </w:rPr>
              <w:t>historical</w:t>
            </w:r>
            <w:r w:rsidRPr="00940D12">
              <w:rPr>
                <w:sz w:val="18"/>
                <w:szCs w:val="18"/>
              </w:rPr>
              <w:t xml:space="preserve"> </w:t>
            </w:r>
            <w:r w:rsidRPr="00940D12">
              <w:rPr>
                <w:b/>
                <w:sz w:val="18"/>
                <w:szCs w:val="18"/>
              </w:rPr>
              <w:t>debate</w:t>
            </w:r>
            <w:r w:rsidRPr="00940D12">
              <w:rPr>
                <w:sz w:val="18"/>
                <w:szCs w:val="18"/>
              </w:rPr>
              <w:t xml:space="preserve"> surrounding the intent of Hitler to exterminate 6m people will be explored as will the reaction of the world.</w:t>
            </w:r>
          </w:p>
        </w:tc>
        <w:tc>
          <w:tcPr>
            <w:tcW w:w="4972" w:type="dxa"/>
            <w:gridSpan w:val="2"/>
            <w:vAlign w:val="center"/>
          </w:tcPr>
          <w:p w:rsidR="00592CDE" w:rsidRPr="00940D12" w:rsidRDefault="00592CDE" w:rsidP="00592CDE">
            <w:pPr>
              <w:pStyle w:val="NoSpacing"/>
              <w:jc w:val="center"/>
              <w:rPr>
                <w:rFonts w:ascii="Calibri" w:eastAsia="Times New Roman" w:hAnsi="Calibri" w:cs="Calibri"/>
                <w:b/>
                <w:color w:val="000000"/>
                <w:kern w:val="28"/>
                <w:sz w:val="18"/>
                <w:szCs w:val="18"/>
                <w:u w:val="single"/>
                <w:lang w:eastAsia="en-GB"/>
              </w:rPr>
            </w:pPr>
            <w:r w:rsidRPr="00940D12">
              <w:rPr>
                <w:rFonts w:ascii="Calibri" w:eastAsia="Times New Roman" w:hAnsi="Calibri" w:cs="Calibri"/>
                <w:b/>
                <w:color w:val="000000"/>
                <w:kern w:val="28"/>
                <w:sz w:val="18"/>
                <w:szCs w:val="18"/>
                <w:u w:val="single"/>
                <w:lang w:eastAsia="en-GB"/>
              </w:rPr>
              <w:t>Britain: Health &amp; the People, c.1,000 up to present day</w:t>
            </w:r>
          </w:p>
          <w:p w:rsidR="00940D12" w:rsidRPr="00940D12" w:rsidRDefault="00592CDE" w:rsidP="00592CDE">
            <w:pPr>
              <w:jc w:val="center"/>
              <w:rPr>
                <w:sz w:val="18"/>
                <w:szCs w:val="18"/>
              </w:rPr>
            </w:pPr>
            <w:r w:rsidRPr="00940D12">
              <w:rPr>
                <w:sz w:val="18"/>
                <w:szCs w:val="18"/>
              </w:rPr>
              <w:t xml:space="preserve">This thematic study will begin with the medicine of the Greeks, the Romans and their varying </w:t>
            </w:r>
            <w:r w:rsidRPr="00940D12">
              <w:rPr>
                <w:sz w:val="18"/>
                <w:szCs w:val="18"/>
                <w:bdr w:val="none" w:sz="0" w:space="0" w:color="auto" w:frame="1"/>
              </w:rPr>
              <w:t xml:space="preserve">methods and treatments. Students then explore the medicine of the Middle Ages including aspects of the Black Death before the great leaps seen under the Renaissance. The work of Vesalius, </w:t>
            </w:r>
            <w:proofErr w:type="spellStart"/>
            <w:r w:rsidRPr="00940D12">
              <w:rPr>
                <w:sz w:val="18"/>
                <w:szCs w:val="18"/>
                <w:bdr w:val="none" w:sz="0" w:space="0" w:color="auto" w:frame="1"/>
              </w:rPr>
              <w:t>Paré</w:t>
            </w:r>
            <w:proofErr w:type="spellEnd"/>
            <w:r w:rsidRPr="00940D12">
              <w:rPr>
                <w:sz w:val="18"/>
                <w:szCs w:val="18"/>
                <w:bdr w:val="none" w:sz="0" w:space="0" w:color="auto" w:frame="1"/>
              </w:rPr>
              <w:t>, William Harvey, John Hunter</w:t>
            </w:r>
            <w:r w:rsidRPr="00940D12">
              <w:rPr>
                <w:sz w:val="18"/>
                <w:szCs w:val="18"/>
              </w:rPr>
              <w:t xml:space="preserve">, Edward Jenner, Robert Koch, Paul </w:t>
            </w:r>
            <w:proofErr w:type="spellStart"/>
            <w:r w:rsidRPr="00940D12">
              <w:rPr>
                <w:sz w:val="18"/>
                <w:szCs w:val="18"/>
              </w:rPr>
              <w:t>Erlich</w:t>
            </w:r>
            <w:proofErr w:type="spellEnd"/>
            <w:r w:rsidRPr="00940D12">
              <w:rPr>
                <w:sz w:val="18"/>
                <w:szCs w:val="18"/>
              </w:rPr>
              <w:t xml:space="preserve">, Louis Pasteur, and Alexander Fleming will all be studied in detail to assess their impact on the development of medicine. </w:t>
            </w:r>
          </w:p>
        </w:tc>
      </w:tr>
      <w:tr w:rsidR="00592CDE" w:rsidTr="00592CDE">
        <w:trPr>
          <w:cantSplit/>
          <w:trHeight w:val="1928"/>
        </w:trPr>
        <w:tc>
          <w:tcPr>
            <w:tcW w:w="395" w:type="dxa"/>
            <w:shd w:val="clear" w:color="auto" w:fill="D9D9D9" w:themeFill="background1" w:themeFillShade="D9"/>
            <w:textDirection w:val="btLr"/>
            <w:vAlign w:val="center"/>
          </w:tcPr>
          <w:p w:rsidR="00592CDE" w:rsidRDefault="00592CDE" w:rsidP="00940D12">
            <w:pPr>
              <w:ind w:left="113" w:right="113"/>
              <w:jc w:val="center"/>
              <w:rPr>
                <w:b/>
                <w:sz w:val="20"/>
                <w:szCs w:val="20"/>
              </w:rPr>
            </w:pPr>
            <w:r>
              <w:rPr>
                <w:b/>
                <w:sz w:val="20"/>
                <w:szCs w:val="20"/>
              </w:rPr>
              <w:t>Year 10</w:t>
            </w:r>
          </w:p>
        </w:tc>
        <w:tc>
          <w:tcPr>
            <w:tcW w:w="2485" w:type="dxa"/>
            <w:vAlign w:val="center"/>
          </w:tcPr>
          <w:p w:rsidR="00592CDE" w:rsidRPr="00940D12" w:rsidRDefault="00592CDE" w:rsidP="00592CDE">
            <w:pPr>
              <w:pStyle w:val="NoSpacing"/>
              <w:jc w:val="center"/>
              <w:rPr>
                <w:rFonts w:ascii="Calibri" w:eastAsia="Times New Roman" w:hAnsi="Calibri" w:cs="Calibri"/>
                <w:b/>
                <w:color w:val="000000"/>
                <w:kern w:val="28"/>
                <w:sz w:val="18"/>
                <w:szCs w:val="18"/>
                <w:u w:val="single"/>
                <w:lang w:eastAsia="en-GB"/>
              </w:rPr>
            </w:pPr>
            <w:r w:rsidRPr="00940D12">
              <w:rPr>
                <w:rFonts w:ascii="Calibri" w:eastAsia="Times New Roman" w:hAnsi="Calibri" w:cs="Calibri"/>
                <w:b/>
                <w:color w:val="000000"/>
                <w:kern w:val="28"/>
                <w:sz w:val="18"/>
                <w:szCs w:val="18"/>
                <w:u w:val="single"/>
                <w:lang w:eastAsia="en-GB"/>
              </w:rPr>
              <w:t>Britain: Health &amp; the People, c.1,000 up to present day</w:t>
            </w:r>
          </w:p>
          <w:p w:rsidR="00592CDE" w:rsidRPr="00940D12" w:rsidRDefault="00592CDE" w:rsidP="00940D12">
            <w:pPr>
              <w:pStyle w:val="NoSpacing"/>
              <w:jc w:val="center"/>
              <w:rPr>
                <w:sz w:val="18"/>
                <w:szCs w:val="18"/>
              </w:rPr>
            </w:pPr>
            <w:r w:rsidRPr="00940D12">
              <w:rPr>
                <w:sz w:val="18"/>
                <w:szCs w:val="18"/>
              </w:rPr>
              <w:t xml:space="preserve">  The improvements and changes seen in surgery and treatments including X-ray, keyhole surgery, and transplants will also be covered. The establishment of the NHS is where the study concludes, assessing its impact on British health.  .</w:t>
            </w:r>
          </w:p>
        </w:tc>
        <w:tc>
          <w:tcPr>
            <w:tcW w:w="7458" w:type="dxa"/>
            <w:gridSpan w:val="3"/>
            <w:vAlign w:val="center"/>
          </w:tcPr>
          <w:p w:rsidR="00592CDE" w:rsidRPr="00940D12" w:rsidRDefault="00592CDE" w:rsidP="00940D12">
            <w:pPr>
              <w:jc w:val="center"/>
              <w:rPr>
                <w:b/>
                <w:sz w:val="18"/>
                <w:szCs w:val="18"/>
                <w:u w:val="single"/>
              </w:rPr>
            </w:pPr>
            <w:r w:rsidRPr="00940D12">
              <w:rPr>
                <w:b/>
                <w:sz w:val="18"/>
                <w:szCs w:val="18"/>
                <w:u w:val="single"/>
              </w:rPr>
              <w:t>Elizabethan England, c1586 – 1603</w:t>
            </w:r>
          </w:p>
          <w:p w:rsidR="00592CDE" w:rsidRPr="00940D12" w:rsidRDefault="00592CDE" w:rsidP="00940D12">
            <w:pPr>
              <w:jc w:val="center"/>
              <w:rPr>
                <w:sz w:val="18"/>
                <w:szCs w:val="18"/>
              </w:rPr>
            </w:pPr>
            <w:r w:rsidRPr="00940D12">
              <w:rPr>
                <w:sz w:val="18"/>
                <w:szCs w:val="18"/>
              </w:rPr>
              <w:t>This period study will explore all aspects of England under Elizabeth I. Some background knowledge on the early part of her reign will be covered before looking at the role the Royal Court played in Elizabethan England. Students then look at trouble in England over religion and the issues with Mary, Queen of Scots; before looking at trouble overseas with the threat posed by the Spanish Armada. The unit finishes by studying the Golden Age of Elizabeth’s rule including the role played by Drake and Raleigh</w:t>
            </w:r>
          </w:p>
        </w:tc>
        <w:tc>
          <w:tcPr>
            <w:tcW w:w="4972" w:type="dxa"/>
            <w:gridSpan w:val="2"/>
            <w:vAlign w:val="center"/>
          </w:tcPr>
          <w:p w:rsidR="00592CDE" w:rsidRPr="00940D12" w:rsidRDefault="00592CDE" w:rsidP="00940D12">
            <w:pPr>
              <w:pStyle w:val="NoSpacing"/>
              <w:jc w:val="center"/>
              <w:rPr>
                <w:rFonts w:ascii="Calibri" w:eastAsia="Times New Roman" w:hAnsi="Calibri" w:cs="Calibri"/>
                <w:b/>
                <w:color w:val="000000"/>
                <w:kern w:val="28"/>
                <w:sz w:val="18"/>
                <w:szCs w:val="18"/>
                <w:u w:val="single"/>
                <w:lang w:eastAsia="en-GB"/>
              </w:rPr>
            </w:pPr>
            <w:r w:rsidRPr="00940D12">
              <w:rPr>
                <w:rFonts w:ascii="Calibri" w:eastAsia="Times New Roman" w:hAnsi="Calibri" w:cs="Calibri"/>
                <w:b/>
                <w:color w:val="000000"/>
                <w:kern w:val="28"/>
                <w:sz w:val="18"/>
                <w:szCs w:val="18"/>
                <w:u w:val="single"/>
                <w:lang w:eastAsia="en-GB"/>
              </w:rPr>
              <w:t>USA, 1920 -1973</w:t>
            </w:r>
          </w:p>
          <w:p w:rsidR="00592CDE" w:rsidRDefault="00592CDE" w:rsidP="005720A6">
            <w:pPr>
              <w:jc w:val="center"/>
              <w:rPr>
                <w:rFonts w:ascii="Calibri" w:eastAsia="Times New Roman" w:hAnsi="Calibri" w:cs="Calibri"/>
                <w:color w:val="000000"/>
                <w:kern w:val="28"/>
                <w:sz w:val="18"/>
                <w:szCs w:val="18"/>
                <w:lang w:eastAsia="en-GB"/>
              </w:rPr>
            </w:pPr>
            <w:r w:rsidRPr="00940D12">
              <w:rPr>
                <w:rFonts w:ascii="Calibri" w:eastAsia="Times New Roman" w:hAnsi="Calibri" w:cs="Calibri"/>
                <w:color w:val="000000"/>
                <w:kern w:val="28"/>
                <w:sz w:val="18"/>
                <w:szCs w:val="18"/>
                <w:lang w:eastAsia="en-GB"/>
              </w:rPr>
              <w:t xml:space="preserve">This study focuses on the development of the USA during a turbulent half century of change. The unit starts by looking at American people and the Boom including the Roaring Twenties, Mass Production, </w:t>
            </w:r>
            <w:proofErr w:type="gramStart"/>
            <w:r w:rsidRPr="00940D12">
              <w:rPr>
                <w:rFonts w:ascii="Calibri" w:eastAsia="Times New Roman" w:hAnsi="Calibri" w:cs="Calibri"/>
                <w:color w:val="000000"/>
                <w:kern w:val="28"/>
                <w:sz w:val="18"/>
                <w:szCs w:val="18"/>
                <w:lang w:eastAsia="en-GB"/>
              </w:rPr>
              <w:t>Social</w:t>
            </w:r>
            <w:proofErr w:type="gramEnd"/>
            <w:r w:rsidRPr="00940D12">
              <w:rPr>
                <w:rFonts w:ascii="Calibri" w:eastAsia="Times New Roman" w:hAnsi="Calibri" w:cs="Calibri"/>
                <w:color w:val="000000"/>
                <w:kern w:val="28"/>
                <w:sz w:val="18"/>
                <w:szCs w:val="18"/>
                <w:lang w:eastAsia="en-GB"/>
              </w:rPr>
              <w:t xml:space="preserve"> Changes especially for women, KKK</w:t>
            </w:r>
            <w:r>
              <w:rPr>
                <w:rFonts w:ascii="Calibri" w:eastAsia="Times New Roman" w:hAnsi="Calibri" w:cs="Calibri"/>
                <w:color w:val="000000"/>
                <w:kern w:val="28"/>
                <w:sz w:val="18"/>
                <w:szCs w:val="18"/>
                <w:lang w:eastAsia="en-GB"/>
              </w:rPr>
              <w:t xml:space="preserve">. </w:t>
            </w:r>
          </w:p>
          <w:p w:rsidR="00592CDE" w:rsidRPr="00940D12" w:rsidRDefault="00592CDE" w:rsidP="005720A6">
            <w:pPr>
              <w:jc w:val="center"/>
              <w:rPr>
                <w:sz w:val="18"/>
                <w:szCs w:val="18"/>
              </w:rPr>
            </w:pPr>
            <w:r w:rsidRPr="00940D12">
              <w:rPr>
                <w:rFonts w:ascii="Calibri" w:eastAsia="Times New Roman" w:hAnsi="Calibri" w:cs="Calibri"/>
                <w:color w:val="000000"/>
                <w:kern w:val="28"/>
                <w:sz w:val="18"/>
                <w:szCs w:val="18"/>
                <w:lang w:eastAsia="en-GB"/>
              </w:rPr>
              <w:t>The unit continues with a study of the Depression and its impact on US people before looking at the New Deal and the impact of WW2 on America.</w:t>
            </w:r>
          </w:p>
        </w:tc>
      </w:tr>
      <w:tr w:rsidR="00592CDE" w:rsidTr="00592CDE">
        <w:trPr>
          <w:cantSplit/>
          <w:trHeight w:val="1928"/>
        </w:trPr>
        <w:tc>
          <w:tcPr>
            <w:tcW w:w="395" w:type="dxa"/>
            <w:shd w:val="clear" w:color="auto" w:fill="D9D9D9" w:themeFill="background1" w:themeFillShade="D9"/>
            <w:textDirection w:val="btLr"/>
            <w:vAlign w:val="center"/>
          </w:tcPr>
          <w:p w:rsidR="00592CDE" w:rsidRDefault="00592CDE" w:rsidP="00940D12">
            <w:pPr>
              <w:ind w:left="113" w:right="113"/>
              <w:jc w:val="center"/>
              <w:rPr>
                <w:b/>
                <w:sz w:val="20"/>
                <w:szCs w:val="20"/>
              </w:rPr>
            </w:pPr>
            <w:r>
              <w:rPr>
                <w:b/>
                <w:sz w:val="20"/>
                <w:szCs w:val="20"/>
              </w:rPr>
              <w:t>Year 11</w:t>
            </w:r>
          </w:p>
        </w:tc>
        <w:tc>
          <w:tcPr>
            <w:tcW w:w="2485" w:type="dxa"/>
            <w:vAlign w:val="center"/>
          </w:tcPr>
          <w:p w:rsidR="00592CDE" w:rsidRDefault="00592CDE" w:rsidP="00940D12">
            <w:pPr>
              <w:pStyle w:val="NoSpacing"/>
              <w:jc w:val="center"/>
              <w:rPr>
                <w:rFonts w:ascii="Calibri" w:eastAsia="Times New Roman" w:hAnsi="Calibri" w:cs="Calibri"/>
                <w:b/>
                <w:color w:val="000000"/>
                <w:kern w:val="28"/>
                <w:sz w:val="18"/>
                <w:szCs w:val="18"/>
                <w:u w:val="single"/>
                <w:lang w:eastAsia="en-GB"/>
              </w:rPr>
            </w:pPr>
            <w:r w:rsidRPr="00940D12">
              <w:rPr>
                <w:rFonts w:ascii="Calibri" w:eastAsia="Times New Roman" w:hAnsi="Calibri" w:cs="Calibri"/>
                <w:b/>
                <w:color w:val="000000"/>
                <w:kern w:val="28"/>
                <w:sz w:val="18"/>
                <w:szCs w:val="18"/>
                <w:u w:val="single"/>
                <w:lang w:eastAsia="en-GB"/>
              </w:rPr>
              <w:t>USA, 1920 -1973</w:t>
            </w:r>
          </w:p>
          <w:p w:rsidR="00592CDE" w:rsidRPr="00940D12" w:rsidRDefault="00592CDE" w:rsidP="00940D12">
            <w:pPr>
              <w:pStyle w:val="NoSpacing"/>
              <w:jc w:val="center"/>
              <w:rPr>
                <w:rFonts w:ascii="Calibri" w:eastAsia="Times New Roman" w:hAnsi="Calibri" w:cs="Calibri"/>
                <w:b/>
                <w:color w:val="000000"/>
                <w:kern w:val="28"/>
                <w:sz w:val="18"/>
                <w:szCs w:val="18"/>
                <w:u w:val="single"/>
                <w:lang w:eastAsia="en-GB"/>
              </w:rPr>
            </w:pPr>
            <w:r w:rsidRPr="00940D12">
              <w:rPr>
                <w:rFonts w:ascii="Calibri" w:eastAsia="Times New Roman" w:hAnsi="Calibri" w:cs="Calibri"/>
                <w:color w:val="000000"/>
                <w:kern w:val="28"/>
                <w:sz w:val="18"/>
                <w:szCs w:val="18"/>
                <w:lang w:eastAsia="en-GB"/>
              </w:rPr>
              <w:t xml:space="preserve">The period study finishes with the huge changes seen in the society of Post War America including McCarthyism, Racial Tension </w:t>
            </w:r>
            <w:r>
              <w:rPr>
                <w:rFonts w:ascii="Calibri" w:eastAsia="Times New Roman" w:hAnsi="Calibri" w:cs="Calibri"/>
                <w:color w:val="000000"/>
                <w:kern w:val="28"/>
                <w:sz w:val="18"/>
                <w:szCs w:val="18"/>
                <w:lang w:eastAsia="en-GB"/>
              </w:rPr>
              <w:t>&amp;</w:t>
            </w:r>
            <w:r w:rsidRPr="00940D12">
              <w:rPr>
                <w:rFonts w:ascii="Calibri" w:eastAsia="Times New Roman" w:hAnsi="Calibri" w:cs="Calibri"/>
                <w:color w:val="000000"/>
                <w:kern w:val="28"/>
                <w:sz w:val="18"/>
                <w:szCs w:val="18"/>
                <w:lang w:eastAsia="en-GB"/>
              </w:rPr>
              <w:t xml:space="preserve"> Civil Rights, Martin Luther King, Malcolm X, Black Power &amp; Civil Rights Laws; America &amp; ‘the Great Society’ and social changes including Roe vs. Wade.</w:t>
            </w:r>
          </w:p>
        </w:tc>
        <w:tc>
          <w:tcPr>
            <w:tcW w:w="7458" w:type="dxa"/>
            <w:gridSpan w:val="3"/>
            <w:vAlign w:val="center"/>
          </w:tcPr>
          <w:p w:rsidR="00592CDE" w:rsidRPr="00940D12" w:rsidRDefault="00592CDE" w:rsidP="00940D12">
            <w:pPr>
              <w:jc w:val="center"/>
              <w:rPr>
                <w:b/>
                <w:sz w:val="18"/>
                <w:szCs w:val="18"/>
                <w:u w:val="single"/>
              </w:rPr>
            </w:pPr>
            <w:r w:rsidRPr="00940D12">
              <w:rPr>
                <w:b/>
                <w:sz w:val="18"/>
                <w:szCs w:val="18"/>
                <w:u w:val="single"/>
              </w:rPr>
              <w:t>Conflict &amp; Tension between East &amp; West, 1945 – 1972</w:t>
            </w:r>
          </w:p>
          <w:p w:rsidR="00592CDE" w:rsidRPr="00940D12" w:rsidRDefault="00592CDE" w:rsidP="00940D12">
            <w:pPr>
              <w:jc w:val="center"/>
              <w:rPr>
                <w:sz w:val="18"/>
                <w:szCs w:val="18"/>
              </w:rPr>
            </w:pPr>
            <w:r w:rsidRPr="00940D12">
              <w:rPr>
                <w:sz w:val="18"/>
                <w:szCs w:val="18"/>
              </w:rPr>
              <w:t>This depth study will allow students to move from the end of WW2 and Nazi Germany in 1945 and explore how the USA and USSR battled for supremacy in Europe and the World. The unit starts with the peace treaties that ended WW2 and how tension mounted with the division of Germany, the Truman Doctrine and Marshall Plan, the Berlin Blockade and Airlift and the building of the Berlin Wall. The actions of the USA and USSR in countries such as Cuba, Czechoslovakia and Hungary will be explored in depth as will events like the U2 crisis.</w:t>
            </w:r>
          </w:p>
        </w:tc>
        <w:tc>
          <w:tcPr>
            <w:tcW w:w="4972" w:type="dxa"/>
            <w:gridSpan w:val="2"/>
            <w:vAlign w:val="center"/>
          </w:tcPr>
          <w:p w:rsidR="00592CDE" w:rsidRPr="00940D12" w:rsidRDefault="00592CDE" w:rsidP="00940D12">
            <w:pPr>
              <w:jc w:val="center"/>
              <w:rPr>
                <w:b/>
                <w:sz w:val="18"/>
                <w:szCs w:val="18"/>
                <w:u w:val="single"/>
              </w:rPr>
            </w:pPr>
            <w:r w:rsidRPr="00940D12">
              <w:rPr>
                <w:b/>
                <w:sz w:val="18"/>
                <w:szCs w:val="18"/>
                <w:u w:val="single"/>
              </w:rPr>
              <w:t>GCSE Examinations</w:t>
            </w:r>
          </w:p>
          <w:p w:rsidR="00592CDE" w:rsidRPr="00940D12" w:rsidRDefault="00592CDE" w:rsidP="00940D12">
            <w:pPr>
              <w:jc w:val="center"/>
              <w:rPr>
                <w:sz w:val="18"/>
                <w:szCs w:val="18"/>
              </w:rPr>
            </w:pPr>
            <w:r w:rsidRPr="00940D12">
              <w:rPr>
                <w:sz w:val="18"/>
                <w:szCs w:val="18"/>
              </w:rPr>
              <w:t>There will be time for revision sessions in the build up to the exams. Past Papers will be utilised throughout the 2 year cycle of the GCSE course.</w:t>
            </w:r>
          </w:p>
        </w:tc>
      </w:tr>
    </w:tbl>
    <w:p w:rsidR="008200F1" w:rsidRDefault="008200F1" w:rsidP="008200F1">
      <w:pPr>
        <w:rPr>
          <w:b/>
        </w:rPr>
      </w:pPr>
    </w:p>
    <w:p w:rsidR="00C06D39" w:rsidRDefault="00C06D39" w:rsidP="008200F1">
      <w:pPr>
        <w:rPr>
          <w:b/>
        </w:rPr>
      </w:pPr>
    </w:p>
    <w:p w:rsidR="00C06D39" w:rsidRDefault="00C06D39" w:rsidP="008200F1">
      <w:pPr>
        <w:rPr>
          <w:b/>
        </w:rPr>
      </w:pPr>
    </w:p>
    <w:p w:rsidR="00C06D39" w:rsidRDefault="00C06D39" w:rsidP="00C06D39">
      <w:pPr>
        <w:jc w:val="center"/>
        <w:rPr>
          <w:b/>
        </w:rPr>
      </w:pPr>
      <w:r>
        <w:rPr>
          <w:b/>
        </w:rPr>
        <w:t>G</w:t>
      </w:r>
      <w:bookmarkStart w:id="0" w:name="_GoBack"/>
      <w:bookmarkEnd w:id="0"/>
      <w:r>
        <w:rPr>
          <w:b/>
        </w:rPr>
        <w:t>CSE Specification – AQA History (8145)</w:t>
      </w:r>
    </w:p>
    <w:p w:rsidR="00C06D39" w:rsidRPr="00015F8A" w:rsidRDefault="00C06D39" w:rsidP="008200F1">
      <w:pPr>
        <w:rPr>
          <w:b/>
        </w:rPr>
      </w:pPr>
    </w:p>
    <w:sectPr w:rsidR="00C06D39" w:rsidRPr="00015F8A" w:rsidSect="008200F1">
      <w:footerReference w:type="default" r:id="rId8"/>
      <w:pgSz w:w="16838" w:h="11906" w:orient="landscape"/>
      <w:pgMar w:top="567" w:right="567" w:bottom="567" w:left="567" w:header="709" w:footer="709"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F1" w:rsidRDefault="008200F1" w:rsidP="008200F1">
      <w:pPr>
        <w:spacing w:after="0" w:line="240" w:lineRule="auto"/>
      </w:pPr>
      <w:r>
        <w:separator/>
      </w:r>
    </w:p>
  </w:endnote>
  <w:endnote w:type="continuationSeparator" w:id="0">
    <w:p w:rsidR="008200F1" w:rsidRDefault="008200F1" w:rsidP="00820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0F1" w:rsidRPr="008200F1" w:rsidRDefault="005720A6" w:rsidP="008200F1">
    <w:pPr>
      <w:pStyle w:val="Footer"/>
      <w:jc w:val="center"/>
      <w:rPr>
        <w:b/>
        <w:u w:val="single"/>
      </w:rPr>
    </w:pPr>
    <w:r>
      <w:rPr>
        <w:b/>
        <w:u w:val="single"/>
      </w:rPr>
      <w:t>History</w:t>
    </w:r>
    <w:r w:rsidR="008200F1">
      <w:rPr>
        <w:b/>
        <w:u w:val="single"/>
      </w:rPr>
      <w:t xml:space="preserve"> Overview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F1" w:rsidRDefault="008200F1" w:rsidP="008200F1">
      <w:pPr>
        <w:spacing w:after="0" w:line="240" w:lineRule="auto"/>
      </w:pPr>
      <w:r>
        <w:separator/>
      </w:r>
    </w:p>
  </w:footnote>
  <w:footnote w:type="continuationSeparator" w:id="0">
    <w:p w:rsidR="008200F1" w:rsidRDefault="008200F1" w:rsidP="008200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2349C"/>
    <w:multiLevelType w:val="hybridMultilevel"/>
    <w:tmpl w:val="5C48B2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20F5F"/>
    <w:multiLevelType w:val="hybridMultilevel"/>
    <w:tmpl w:val="BAC0DB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B2495"/>
    <w:multiLevelType w:val="multilevel"/>
    <w:tmpl w:val="2B4698C8"/>
    <w:lvl w:ilvl="0">
      <w:start w:val="1"/>
      <w:numFmt w:val="decimal"/>
      <w:pStyle w:val="Heading1"/>
      <w:lvlText w:val="%1"/>
      <w:lvlJc w:val="left"/>
      <w:pPr>
        <w:tabs>
          <w:tab w:val="num" w:pos="574"/>
        </w:tabs>
        <w:ind w:left="574" w:hanging="432"/>
      </w:pPr>
      <w:rPr>
        <w:rFonts w:hint="default"/>
        <w:sz w:val="32"/>
      </w:rPr>
    </w:lvl>
    <w:lvl w:ilvl="1">
      <w:start w:val="12"/>
      <w:numFmt w:val="decimal"/>
      <w:pStyle w:val="Heading2"/>
      <w:lvlText w:val="%1.%2"/>
      <w:lvlJc w:val="left"/>
      <w:pPr>
        <w:tabs>
          <w:tab w:val="num" w:pos="718"/>
        </w:tabs>
        <w:ind w:left="718"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2"/>
      <w:numFmt w:val="decimal"/>
      <w:pStyle w:val="Heading9"/>
      <w:lvlText w:val="%9"/>
      <w:lvlJc w:val="left"/>
      <w:pPr>
        <w:tabs>
          <w:tab w:val="num" w:pos="1584"/>
        </w:tabs>
        <w:ind w:left="1584" w:hanging="1584"/>
      </w:pPr>
      <w:rPr>
        <w:rFonts w:hint="default"/>
      </w:rPr>
    </w:lvl>
  </w:abstractNum>
  <w:abstractNum w:abstractNumId="3" w15:restartNumberingAfterBreak="0">
    <w:nsid w:val="20A524F0"/>
    <w:multiLevelType w:val="hybridMultilevel"/>
    <w:tmpl w:val="8382B2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E73CBD"/>
    <w:multiLevelType w:val="hybridMultilevel"/>
    <w:tmpl w:val="A3801700"/>
    <w:lvl w:ilvl="0" w:tplc="08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65825"/>
    <w:multiLevelType w:val="hybridMultilevel"/>
    <w:tmpl w:val="7276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04735"/>
    <w:multiLevelType w:val="hybridMultilevel"/>
    <w:tmpl w:val="F2E4CB6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065656"/>
    <w:multiLevelType w:val="hybridMultilevel"/>
    <w:tmpl w:val="ADB4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E2678"/>
    <w:multiLevelType w:val="hybridMultilevel"/>
    <w:tmpl w:val="ECDC667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750A3"/>
    <w:multiLevelType w:val="hybridMultilevel"/>
    <w:tmpl w:val="7974F076"/>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E417E"/>
    <w:multiLevelType w:val="hybridMultilevel"/>
    <w:tmpl w:val="274880EE"/>
    <w:lvl w:ilvl="0" w:tplc="08090015">
      <w:start w:val="1"/>
      <w:numFmt w:val="upp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10"/>
  </w:num>
  <w:num w:numId="4">
    <w:abstractNumId w:val="3"/>
  </w:num>
  <w:num w:numId="5">
    <w:abstractNumId w:val="0"/>
  </w:num>
  <w:num w:numId="6">
    <w:abstractNumId w:val="9"/>
  </w:num>
  <w:num w:numId="7">
    <w:abstractNumId w:val="6"/>
  </w:num>
  <w:num w:numId="8">
    <w:abstractNumId w:val="1"/>
  </w:num>
  <w:num w:numId="9">
    <w:abstractNumId w:val="4"/>
  </w:num>
  <w:num w:numId="10">
    <w:abstractNumId w:val="5"/>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7A"/>
    <w:rsid w:val="0001333B"/>
    <w:rsid w:val="000146C5"/>
    <w:rsid w:val="00015F8A"/>
    <w:rsid w:val="00025177"/>
    <w:rsid w:val="00025527"/>
    <w:rsid w:val="000453C2"/>
    <w:rsid w:val="000516F6"/>
    <w:rsid w:val="00064B96"/>
    <w:rsid w:val="00065CB5"/>
    <w:rsid w:val="000F3284"/>
    <w:rsid w:val="000F7F91"/>
    <w:rsid w:val="001267DC"/>
    <w:rsid w:val="00135F6D"/>
    <w:rsid w:val="00145546"/>
    <w:rsid w:val="00151B20"/>
    <w:rsid w:val="00170674"/>
    <w:rsid w:val="00172216"/>
    <w:rsid w:val="00191285"/>
    <w:rsid w:val="001A690A"/>
    <w:rsid w:val="001B2B55"/>
    <w:rsid w:val="001C5998"/>
    <w:rsid w:val="001C7D49"/>
    <w:rsid w:val="001D0481"/>
    <w:rsid w:val="001D3C05"/>
    <w:rsid w:val="001E4440"/>
    <w:rsid w:val="001E69C7"/>
    <w:rsid w:val="0021408A"/>
    <w:rsid w:val="00216360"/>
    <w:rsid w:val="0022227A"/>
    <w:rsid w:val="00224A03"/>
    <w:rsid w:val="00225551"/>
    <w:rsid w:val="00242AB5"/>
    <w:rsid w:val="0025534F"/>
    <w:rsid w:val="00257627"/>
    <w:rsid w:val="002862D9"/>
    <w:rsid w:val="0029329B"/>
    <w:rsid w:val="002A4C75"/>
    <w:rsid w:val="002A730E"/>
    <w:rsid w:val="002C0FA4"/>
    <w:rsid w:val="002C309E"/>
    <w:rsid w:val="002D2FFC"/>
    <w:rsid w:val="002D4F75"/>
    <w:rsid w:val="002D5FAD"/>
    <w:rsid w:val="002E1372"/>
    <w:rsid w:val="002E2596"/>
    <w:rsid w:val="002F4D4B"/>
    <w:rsid w:val="0030485F"/>
    <w:rsid w:val="003167A8"/>
    <w:rsid w:val="003231AD"/>
    <w:rsid w:val="00337756"/>
    <w:rsid w:val="00355448"/>
    <w:rsid w:val="00357ED5"/>
    <w:rsid w:val="00362065"/>
    <w:rsid w:val="00364B3F"/>
    <w:rsid w:val="003769D4"/>
    <w:rsid w:val="00382486"/>
    <w:rsid w:val="003A17B7"/>
    <w:rsid w:val="003A38F0"/>
    <w:rsid w:val="003A4CBB"/>
    <w:rsid w:val="003B23DC"/>
    <w:rsid w:val="003C1511"/>
    <w:rsid w:val="003D2139"/>
    <w:rsid w:val="003D43DF"/>
    <w:rsid w:val="00403313"/>
    <w:rsid w:val="004106CA"/>
    <w:rsid w:val="00435EB0"/>
    <w:rsid w:val="00451EA3"/>
    <w:rsid w:val="00462BAF"/>
    <w:rsid w:val="00463F0B"/>
    <w:rsid w:val="004823D9"/>
    <w:rsid w:val="004A18DC"/>
    <w:rsid w:val="004A55EF"/>
    <w:rsid w:val="004A79D6"/>
    <w:rsid w:val="004B1ABB"/>
    <w:rsid w:val="004B4A7C"/>
    <w:rsid w:val="004D2411"/>
    <w:rsid w:val="004D3070"/>
    <w:rsid w:val="004F1EA5"/>
    <w:rsid w:val="004F3B9D"/>
    <w:rsid w:val="00503589"/>
    <w:rsid w:val="00535B81"/>
    <w:rsid w:val="00560ECD"/>
    <w:rsid w:val="005720A6"/>
    <w:rsid w:val="005742D1"/>
    <w:rsid w:val="005860BF"/>
    <w:rsid w:val="00592CDE"/>
    <w:rsid w:val="005A5426"/>
    <w:rsid w:val="005A5F3C"/>
    <w:rsid w:val="005A6C11"/>
    <w:rsid w:val="005C6769"/>
    <w:rsid w:val="005D6A76"/>
    <w:rsid w:val="005E3062"/>
    <w:rsid w:val="005F6569"/>
    <w:rsid w:val="006050A7"/>
    <w:rsid w:val="006159DB"/>
    <w:rsid w:val="00623E8D"/>
    <w:rsid w:val="00627CCB"/>
    <w:rsid w:val="00631143"/>
    <w:rsid w:val="00632D77"/>
    <w:rsid w:val="00634FA7"/>
    <w:rsid w:val="00641502"/>
    <w:rsid w:val="00646EDD"/>
    <w:rsid w:val="006775B5"/>
    <w:rsid w:val="006B655F"/>
    <w:rsid w:val="006C1191"/>
    <w:rsid w:val="006D68D3"/>
    <w:rsid w:val="006D6BA9"/>
    <w:rsid w:val="006F153F"/>
    <w:rsid w:val="00700237"/>
    <w:rsid w:val="00707BE6"/>
    <w:rsid w:val="00722562"/>
    <w:rsid w:val="00722AA8"/>
    <w:rsid w:val="00731222"/>
    <w:rsid w:val="00733C14"/>
    <w:rsid w:val="00766CB8"/>
    <w:rsid w:val="00767BA4"/>
    <w:rsid w:val="0078071F"/>
    <w:rsid w:val="007B0DBE"/>
    <w:rsid w:val="007E7D2A"/>
    <w:rsid w:val="007F1C3E"/>
    <w:rsid w:val="007F269D"/>
    <w:rsid w:val="00812F10"/>
    <w:rsid w:val="008200F1"/>
    <w:rsid w:val="0082492A"/>
    <w:rsid w:val="008641A5"/>
    <w:rsid w:val="00875357"/>
    <w:rsid w:val="00886D3F"/>
    <w:rsid w:val="00897992"/>
    <w:rsid w:val="008A3560"/>
    <w:rsid w:val="008E1F1E"/>
    <w:rsid w:val="008E5C57"/>
    <w:rsid w:val="008E69ED"/>
    <w:rsid w:val="008F52B1"/>
    <w:rsid w:val="00914DEC"/>
    <w:rsid w:val="00924299"/>
    <w:rsid w:val="00940D12"/>
    <w:rsid w:val="00945E7C"/>
    <w:rsid w:val="00957781"/>
    <w:rsid w:val="00957D98"/>
    <w:rsid w:val="00984FDF"/>
    <w:rsid w:val="009D20B5"/>
    <w:rsid w:val="009F355B"/>
    <w:rsid w:val="009F61F8"/>
    <w:rsid w:val="00A11A17"/>
    <w:rsid w:val="00A16B70"/>
    <w:rsid w:val="00A2477F"/>
    <w:rsid w:val="00A25F72"/>
    <w:rsid w:val="00A26637"/>
    <w:rsid w:val="00A40657"/>
    <w:rsid w:val="00A40CAB"/>
    <w:rsid w:val="00A50AEF"/>
    <w:rsid w:val="00A51D9F"/>
    <w:rsid w:val="00A875BA"/>
    <w:rsid w:val="00AA2873"/>
    <w:rsid w:val="00AC476C"/>
    <w:rsid w:val="00AD6CDC"/>
    <w:rsid w:val="00AE0D93"/>
    <w:rsid w:val="00AE721E"/>
    <w:rsid w:val="00AF093A"/>
    <w:rsid w:val="00B125AB"/>
    <w:rsid w:val="00B25EED"/>
    <w:rsid w:val="00B27534"/>
    <w:rsid w:val="00B329B6"/>
    <w:rsid w:val="00B52DF3"/>
    <w:rsid w:val="00B53CB7"/>
    <w:rsid w:val="00B57BC6"/>
    <w:rsid w:val="00B57E0C"/>
    <w:rsid w:val="00B71491"/>
    <w:rsid w:val="00B73460"/>
    <w:rsid w:val="00B7530C"/>
    <w:rsid w:val="00B941A1"/>
    <w:rsid w:val="00BA15B0"/>
    <w:rsid w:val="00BA269F"/>
    <w:rsid w:val="00BB65F5"/>
    <w:rsid w:val="00BE710C"/>
    <w:rsid w:val="00BF1E26"/>
    <w:rsid w:val="00C02972"/>
    <w:rsid w:val="00C0304E"/>
    <w:rsid w:val="00C06D39"/>
    <w:rsid w:val="00C15279"/>
    <w:rsid w:val="00C22D64"/>
    <w:rsid w:val="00C2330B"/>
    <w:rsid w:val="00C31BBE"/>
    <w:rsid w:val="00C65843"/>
    <w:rsid w:val="00C677AA"/>
    <w:rsid w:val="00C76AE1"/>
    <w:rsid w:val="00C777A2"/>
    <w:rsid w:val="00C80EAB"/>
    <w:rsid w:val="00C85C24"/>
    <w:rsid w:val="00C92CAC"/>
    <w:rsid w:val="00CB5396"/>
    <w:rsid w:val="00CB79E7"/>
    <w:rsid w:val="00CB7AF2"/>
    <w:rsid w:val="00CC0FDB"/>
    <w:rsid w:val="00CC18F3"/>
    <w:rsid w:val="00CC42C7"/>
    <w:rsid w:val="00CC68C6"/>
    <w:rsid w:val="00CF7C2D"/>
    <w:rsid w:val="00D01059"/>
    <w:rsid w:val="00D10D62"/>
    <w:rsid w:val="00D13B70"/>
    <w:rsid w:val="00D16218"/>
    <w:rsid w:val="00D76E31"/>
    <w:rsid w:val="00DB2740"/>
    <w:rsid w:val="00DB7704"/>
    <w:rsid w:val="00DC00C6"/>
    <w:rsid w:val="00DD5785"/>
    <w:rsid w:val="00DE49DD"/>
    <w:rsid w:val="00DF12DF"/>
    <w:rsid w:val="00DF26EA"/>
    <w:rsid w:val="00E0116D"/>
    <w:rsid w:val="00E35026"/>
    <w:rsid w:val="00E425E5"/>
    <w:rsid w:val="00E4759D"/>
    <w:rsid w:val="00E47977"/>
    <w:rsid w:val="00E53915"/>
    <w:rsid w:val="00E71272"/>
    <w:rsid w:val="00E8763F"/>
    <w:rsid w:val="00E87AFE"/>
    <w:rsid w:val="00E92795"/>
    <w:rsid w:val="00E94BB7"/>
    <w:rsid w:val="00EA4B75"/>
    <w:rsid w:val="00EB2569"/>
    <w:rsid w:val="00EB335F"/>
    <w:rsid w:val="00EC3444"/>
    <w:rsid w:val="00EC4C16"/>
    <w:rsid w:val="00EC51D9"/>
    <w:rsid w:val="00EE6A3A"/>
    <w:rsid w:val="00EF6F34"/>
    <w:rsid w:val="00F02ECB"/>
    <w:rsid w:val="00F160B4"/>
    <w:rsid w:val="00F4030A"/>
    <w:rsid w:val="00F44983"/>
    <w:rsid w:val="00F64E25"/>
    <w:rsid w:val="00F6752B"/>
    <w:rsid w:val="00F67C99"/>
    <w:rsid w:val="00F72D23"/>
    <w:rsid w:val="00F9712E"/>
    <w:rsid w:val="00FA2616"/>
    <w:rsid w:val="00FA759F"/>
    <w:rsid w:val="00FB54CE"/>
    <w:rsid w:val="00FC0BEF"/>
    <w:rsid w:val="00FC13EB"/>
    <w:rsid w:val="00FC1AE7"/>
    <w:rsid w:val="00FC3334"/>
    <w:rsid w:val="00FD7DCD"/>
    <w:rsid w:val="00FE1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78102-3FB4-4DCA-A2B2-228258567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3F0B"/>
    <w:pPr>
      <w:keepNext/>
      <w:numPr>
        <w:numId w:val="2"/>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63F0B"/>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63F0B"/>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463F0B"/>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463F0B"/>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463F0B"/>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463F0B"/>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463F0B"/>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463F0B"/>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27A"/>
    <w:pPr>
      <w:ind w:left="720"/>
      <w:contextualSpacing/>
    </w:pPr>
  </w:style>
  <w:style w:type="paragraph" w:styleId="BalloonText">
    <w:name w:val="Balloon Text"/>
    <w:basedOn w:val="Normal"/>
    <w:link w:val="BalloonTextChar"/>
    <w:uiPriority w:val="99"/>
    <w:semiHidden/>
    <w:unhideWhenUsed/>
    <w:rsid w:val="00222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27A"/>
    <w:rPr>
      <w:rFonts w:ascii="Segoe UI" w:hAnsi="Segoe UI" w:cs="Segoe UI"/>
      <w:sz w:val="18"/>
      <w:szCs w:val="18"/>
    </w:rPr>
  </w:style>
  <w:style w:type="table" w:styleId="TableGrid">
    <w:name w:val="Table Grid"/>
    <w:basedOn w:val="TableNormal"/>
    <w:uiPriority w:val="59"/>
    <w:rsid w:val="00F4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63F0B"/>
    <w:rPr>
      <w:rFonts w:ascii="Arial" w:eastAsia="Times New Roman" w:hAnsi="Arial" w:cs="Arial"/>
      <w:b/>
      <w:bCs/>
      <w:kern w:val="32"/>
      <w:sz w:val="32"/>
      <w:szCs w:val="32"/>
    </w:rPr>
  </w:style>
  <w:style w:type="character" w:customStyle="1" w:styleId="Heading2Char">
    <w:name w:val="Heading 2 Char"/>
    <w:basedOn w:val="DefaultParagraphFont"/>
    <w:link w:val="Heading2"/>
    <w:rsid w:val="00463F0B"/>
    <w:rPr>
      <w:rFonts w:ascii="Arial" w:eastAsia="Times New Roman" w:hAnsi="Arial" w:cs="Arial"/>
      <w:b/>
      <w:bCs/>
      <w:i/>
      <w:iCs/>
      <w:sz w:val="28"/>
      <w:szCs w:val="28"/>
    </w:rPr>
  </w:style>
  <w:style w:type="character" w:customStyle="1" w:styleId="Heading3Char">
    <w:name w:val="Heading 3 Char"/>
    <w:basedOn w:val="DefaultParagraphFont"/>
    <w:link w:val="Heading3"/>
    <w:rsid w:val="00463F0B"/>
    <w:rPr>
      <w:rFonts w:ascii="Arial" w:eastAsia="Times New Roman" w:hAnsi="Arial" w:cs="Arial"/>
      <w:b/>
      <w:bCs/>
      <w:sz w:val="26"/>
      <w:szCs w:val="26"/>
    </w:rPr>
  </w:style>
  <w:style w:type="character" w:customStyle="1" w:styleId="Heading4Char">
    <w:name w:val="Heading 4 Char"/>
    <w:basedOn w:val="DefaultParagraphFont"/>
    <w:link w:val="Heading4"/>
    <w:rsid w:val="00463F0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63F0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63F0B"/>
    <w:rPr>
      <w:rFonts w:ascii="Times New Roman" w:eastAsia="Times New Roman" w:hAnsi="Times New Roman" w:cs="Times New Roman"/>
      <w:b/>
      <w:bCs/>
    </w:rPr>
  </w:style>
  <w:style w:type="character" w:customStyle="1" w:styleId="Heading7Char">
    <w:name w:val="Heading 7 Char"/>
    <w:basedOn w:val="DefaultParagraphFont"/>
    <w:link w:val="Heading7"/>
    <w:rsid w:val="00463F0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63F0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3F0B"/>
    <w:rPr>
      <w:rFonts w:ascii="Arial" w:eastAsia="Times New Roman" w:hAnsi="Arial" w:cs="Arial"/>
    </w:rPr>
  </w:style>
  <w:style w:type="paragraph" w:styleId="NoSpacing">
    <w:name w:val="No Spacing"/>
    <w:uiPriority w:val="1"/>
    <w:qFormat/>
    <w:rsid w:val="002C309E"/>
    <w:pPr>
      <w:spacing w:after="0" w:line="240" w:lineRule="auto"/>
    </w:pPr>
  </w:style>
  <w:style w:type="paragraph" w:styleId="NormalWeb">
    <w:name w:val="Normal (Web)"/>
    <w:basedOn w:val="Normal"/>
    <w:uiPriority w:val="99"/>
    <w:semiHidden/>
    <w:unhideWhenUsed/>
    <w:rsid w:val="000516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20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0F1"/>
  </w:style>
  <w:style w:type="paragraph" w:styleId="Footer">
    <w:name w:val="footer"/>
    <w:basedOn w:val="Normal"/>
    <w:link w:val="FooterChar"/>
    <w:uiPriority w:val="99"/>
    <w:unhideWhenUsed/>
    <w:rsid w:val="00820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4827">
      <w:bodyDiv w:val="1"/>
      <w:marLeft w:val="0"/>
      <w:marRight w:val="0"/>
      <w:marTop w:val="0"/>
      <w:marBottom w:val="0"/>
      <w:divBdr>
        <w:top w:val="none" w:sz="0" w:space="0" w:color="auto"/>
        <w:left w:val="none" w:sz="0" w:space="0" w:color="auto"/>
        <w:bottom w:val="none" w:sz="0" w:space="0" w:color="auto"/>
        <w:right w:val="none" w:sz="0" w:space="0" w:color="auto"/>
      </w:divBdr>
    </w:div>
    <w:div w:id="277495683">
      <w:bodyDiv w:val="1"/>
      <w:marLeft w:val="0"/>
      <w:marRight w:val="0"/>
      <w:marTop w:val="0"/>
      <w:marBottom w:val="0"/>
      <w:divBdr>
        <w:top w:val="none" w:sz="0" w:space="0" w:color="auto"/>
        <w:left w:val="none" w:sz="0" w:space="0" w:color="auto"/>
        <w:bottom w:val="none" w:sz="0" w:space="0" w:color="auto"/>
        <w:right w:val="none" w:sz="0" w:space="0" w:color="auto"/>
      </w:divBdr>
    </w:div>
    <w:div w:id="1243444842">
      <w:bodyDiv w:val="1"/>
      <w:marLeft w:val="0"/>
      <w:marRight w:val="0"/>
      <w:marTop w:val="0"/>
      <w:marBottom w:val="0"/>
      <w:divBdr>
        <w:top w:val="none" w:sz="0" w:space="0" w:color="auto"/>
        <w:left w:val="none" w:sz="0" w:space="0" w:color="auto"/>
        <w:bottom w:val="none" w:sz="0" w:space="0" w:color="auto"/>
        <w:right w:val="none" w:sz="0" w:space="0" w:color="auto"/>
      </w:divBdr>
    </w:div>
    <w:div w:id="1327826089">
      <w:bodyDiv w:val="1"/>
      <w:marLeft w:val="0"/>
      <w:marRight w:val="0"/>
      <w:marTop w:val="0"/>
      <w:marBottom w:val="0"/>
      <w:divBdr>
        <w:top w:val="none" w:sz="0" w:space="0" w:color="auto"/>
        <w:left w:val="none" w:sz="0" w:space="0" w:color="auto"/>
        <w:bottom w:val="none" w:sz="0" w:space="0" w:color="auto"/>
        <w:right w:val="none" w:sz="0" w:space="0" w:color="auto"/>
      </w:divBdr>
    </w:div>
    <w:div w:id="1328436413">
      <w:bodyDiv w:val="1"/>
      <w:marLeft w:val="0"/>
      <w:marRight w:val="0"/>
      <w:marTop w:val="0"/>
      <w:marBottom w:val="0"/>
      <w:divBdr>
        <w:top w:val="none" w:sz="0" w:space="0" w:color="auto"/>
        <w:left w:val="none" w:sz="0" w:space="0" w:color="auto"/>
        <w:bottom w:val="none" w:sz="0" w:space="0" w:color="auto"/>
        <w:right w:val="none" w:sz="0" w:space="0" w:color="auto"/>
      </w:divBdr>
    </w:div>
    <w:div w:id="1679573726">
      <w:bodyDiv w:val="1"/>
      <w:marLeft w:val="0"/>
      <w:marRight w:val="0"/>
      <w:marTop w:val="0"/>
      <w:marBottom w:val="0"/>
      <w:divBdr>
        <w:top w:val="none" w:sz="0" w:space="0" w:color="auto"/>
        <w:left w:val="none" w:sz="0" w:space="0" w:color="auto"/>
        <w:bottom w:val="none" w:sz="0" w:space="0" w:color="auto"/>
        <w:right w:val="none" w:sz="0" w:space="0" w:color="auto"/>
      </w:divBdr>
    </w:div>
    <w:div w:id="202270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Parkfield Free School</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Northam</dc:creator>
  <cp:lastModifiedBy>Philip Williamson</cp:lastModifiedBy>
  <cp:revision>3</cp:revision>
  <cp:lastPrinted>2017-06-08T17:22:00Z</cp:lastPrinted>
  <dcterms:created xsi:type="dcterms:W3CDTF">2018-02-09T09:38:00Z</dcterms:created>
  <dcterms:modified xsi:type="dcterms:W3CDTF">2018-02-09T09:49:00Z</dcterms:modified>
</cp:coreProperties>
</file>